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47" w:tblpY="350"/>
        <w:tblOverlap w:val="never"/>
        <w:tblW w:w="98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722"/>
        <w:gridCol w:w="299"/>
        <w:gridCol w:w="2474"/>
        <w:gridCol w:w="900"/>
        <w:gridCol w:w="4288"/>
      </w:tblGrid>
      <w:tr w14:paraId="56AA0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80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DB5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附件2        </w:t>
            </w:r>
            <w:bookmarkStart w:id="0" w:name="_GoBack"/>
            <w:bookmarkEnd w:id="0"/>
          </w:p>
        </w:tc>
      </w:tr>
      <w:tr w14:paraId="35A47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9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68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318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6"/>
                <w:szCs w:val="36"/>
              </w:rPr>
              <w:t>药品配送企业遴选条件审查表</w:t>
            </w:r>
          </w:p>
        </w:tc>
      </w:tr>
      <w:tr w14:paraId="43FED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4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遴选条件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符合条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打√ ,否则打×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0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 证明材料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（复印件加盖公章并按顺序装订，原件备查）</w:t>
            </w:r>
          </w:p>
        </w:tc>
      </w:tr>
      <w:tr w14:paraId="5EF17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4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符合《中华人民共和国政府采购法》第二十二条的规定要求</w:t>
            </w:r>
          </w:p>
        </w:tc>
        <w:tc>
          <w:tcPr>
            <w:tcW w:w="2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4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具有独立承担民事责任的能力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422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C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（1）企业法人证书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（2）“信用中国”网站的“信用服务 ”查询结果截图（3）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有效期内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《营业执照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》正副本、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《药品经营许可证》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正副本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及《药品经营质量管理规范认证证书》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eastAsia="zh-CN"/>
              </w:rPr>
              <w:t>《开户许可证》《开票信息》《单位质量管理体系调查与评价表》《相关印章备案》《增值税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专用发票发票模版》《随货同行单模版》《重庆市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医疗机构医药产品购销廉洁协议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购销合同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》《授权委托书》《授权委托人身份证双面复印件》</w:t>
            </w:r>
          </w:p>
        </w:tc>
      </w:tr>
      <w:tr w14:paraId="574DD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D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7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具有良好的商业信誉和健全的财务会计制度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20D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A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以下平台的查询记录截图：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（1）中国裁判文书网站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（2）“信用中国”网站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（3）中国政府采购网的“政府采购严重违法失信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为记录名单”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（4）中国市场监管行政处罚文书网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（5）国家企业信用信息公示系统</w:t>
            </w:r>
          </w:p>
        </w:tc>
      </w:tr>
      <w:tr w14:paraId="047DD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6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有依法缴纳税收和社会保障资金的良好记录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7F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出具上年度纳税信用评价信息（复印件加盖公章）以及近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个月连续 3个月缴纳社会保障资金的记录（复印件加盖公章）</w:t>
            </w:r>
          </w:p>
        </w:tc>
      </w:tr>
      <w:tr w14:paraId="2C0FA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36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参加政府采购活动近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年内，在经营活动中没有重大违法记录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7F8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3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（1）国家企业信用信息公示系统、当地政府部门或相关监管机构的官方网站等平台的查询结果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（2）上一合同周期内合作的配送企业未发生不良配送事件（以本医疗机构记录为参考，企业此项不必提供）</w:t>
            </w:r>
          </w:p>
        </w:tc>
      </w:tr>
      <w:tr w14:paraId="5580E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7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药品配送企业须严格执行“两票制 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中药饮片除外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D3F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9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附佐证材料</w:t>
            </w:r>
          </w:p>
        </w:tc>
      </w:tr>
      <w:tr w14:paraId="20B9D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2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配送西药、中成药企业必须具有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重庆市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药品和医用耗材招采管理系统的配送企业资质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CE8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附佐证材料</w:t>
            </w:r>
          </w:p>
        </w:tc>
      </w:tr>
      <w:tr w14:paraId="1D5C6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2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B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药品配送企业为同一法定代表人，不得同时参加遴选活动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6DA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F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医疗机构人员审核</w:t>
            </w:r>
          </w:p>
        </w:tc>
      </w:tr>
      <w:tr w14:paraId="7B458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9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10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E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药品配送企业服务承诺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5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配送药品的质量保证书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A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4E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提供详细服务承诺，加盖企业公章</w:t>
            </w:r>
          </w:p>
        </w:tc>
      </w:tr>
      <w:tr w14:paraId="51E82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配送药品的及时性、完成率、配送准确度的保证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18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454F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6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1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E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配送药品的售后服务保证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DE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30D2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8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D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其他自主服务承诺方案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F4E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C39B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医疗机构复核结果</w:t>
            </w:r>
          </w:p>
        </w:tc>
        <w:tc>
          <w:tcPr>
            <w:tcW w:w="8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0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该配送企业是否能参与遴选：  是□     否□</w:t>
            </w:r>
          </w:p>
        </w:tc>
      </w:tr>
    </w:tbl>
    <w:p w14:paraId="619940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86EDD1A-2190-4BED-8F49-E59C5EAF7C4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396CE4A-35AD-4F5A-9E38-DEB97669EC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CF53836A-9F74-402A-B7E1-395BB77A12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F242D3E-D56E-4143-964F-884A9CBD87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F7BBB"/>
    <w:rsid w:val="01571C00"/>
    <w:rsid w:val="051B326D"/>
    <w:rsid w:val="12F57F45"/>
    <w:rsid w:val="2B5841C1"/>
    <w:rsid w:val="4D463140"/>
    <w:rsid w:val="4EAF55F6"/>
    <w:rsid w:val="5A557999"/>
    <w:rsid w:val="6BC1738A"/>
    <w:rsid w:val="6F3E4D69"/>
    <w:rsid w:val="70C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783</Words>
  <Characters>783</Characters>
  <Lines>0</Lines>
  <Paragraphs>0</Paragraphs>
  <TotalTime>13</TotalTime>
  <ScaleCrop>false</ScaleCrop>
  <LinksUpToDate>false</LinksUpToDate>
  <CharactersWithSpaces>806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2025-11-12T09:22:00Z</dcterms:created>
  <dc:creator>睿</dc:creator>
  <cp:lastModifiedBy>蜗牛</cp:lastModifiedBy>
  <cp:lastPrinted>2025-12-19T06:21:21Z</cp:lastPrinted>
  <dcterms:modified xsi:type="dcterms:W3CDTF">2025-12-19T06:22:17Z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3F6A13DEA42A4EA4B4D9184B31615106_11</vt:lpwstr>
  </property>
  <property fmtid="{D5CDD505-2E9C-101B-9397-08002B2CF9AE}" pid="4" name="KSOTemplateDocerSaveRecord">
    <vt:lpwstr>eyJoZGlkIjoiNDZiOTU2ZWYyNGNjN2E2MTVmNjg4ZjI0ODY4MjI5OWYiLCJ1c2VySWQiOiIzNzE1Mjk4NDUifQ==</vt:lpwstr>
  </property>
</Properties>
</file>